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pageBreakBefore w:val="0"/>
        <w:spacing w:after="0" w:before="60" w:line="240" w:lineRule="auto"/>
        <w:ind w:left="432" w:firstLine="648"/>
        <w:jc w:val="center"/>
        <w:rPr>
          <w:b w:val="1"/>
          <w:sz w:val="24"/>
          <w:szCs w:val="24"/>
        </w:rPr>
      </w:pPr>
      <w:bookmarkStart w:colFirst="0" w:colLast="0" w:name="_nmf14n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Anexo I – Portaria de suspensão de expediente</w:t>
      </w:r>
    </w:p>
    <w:p w:rsidR="00000000" w:rsidDel="00000000" w:rsidP="00000000" w:rsidRDefault="00000000" w:rsidRPr="00000000" w14:paraId="00000002">
      <w:pPr>
        <w:pageBreakBefore w:val="0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60" w:before="60" w:line="360" w:lineRule="auto"/>
        <w:ind w:firstLine="709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60" w:before="60" w:line="360" w:lineRule="auto"/>
        <w:ind w:firstLine="709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60" w:before="60" w:line="360" w:lineRule="auto"/>
        <w:ind w:firstLine="709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PORTARIA N.  </w:t>
      </w:r>
      <w:r w:rsidDel="00000000" w:rsidR="00000000" w:rsidRPr="00000000">
        <w:rPr>
          <w:b w:val="1"/>
          <w:color w:val="ff0000"/>
          <w:sz w:val="24"/>
          <w:szCs w:val="24"/>
          <w:highlight w:val="lightGray"/>
          <w:rtl w:val="0"/>
        </w:rPr>
        <w:t xml:space="preserve">XX/20XX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60" w:before="60" w:line="360" w:lineRule="auto"/>
        <w:ind w:firstLine="709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tabs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536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60" w:before="60" w:line="360" w:lineRule="auto"/>
        <w:ind w:left="453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Dispõe sobre a suspensão de expediente no </w:t>
      </w:r>
      <w:r w:rsidDel="00000000" w:rsidR="00000000" w:rsidRPr="00000000">
        <w:rPr>
          <w:color w:val="ff0000"/>
          <w:sz w:val="24"/>
          <w:szCs w:val="24"/>
          <w:highlight w:val="lightGray"/>
          <w:rtl w:val="0"/>
        </w:rPr>
        <w:t xml:space="preserve">(nome oficial da serventia)</w:t>
      </w:r>
      <w:r w:rsidDel="00000000" w:rsidR="00000000" w:rsidRPr="00000000">
        <w:rPr>
          <w:sz w:val="24"/>
          <w:szCs w:val="24"/>
          <w:rtl w:val="0"/>
        </w:rPr>
        <w:t xml:space="preserve"> da comarca de </w:t>
      </w:r>
      <w:r w:rsidDel="00000000" w:rsidR="00000000" w:rsidRPr="00000000">
        <w:rPr>
          <w:color w:val="ff0000"/>
          <w:sz w:val="24"/>
          <w:szCs w:val="24"/>
          <w:highlight w:val="lightGray"/>
          <w:rtl w:val="0"/>
        </w:rPr>
        <w:t xml:space="preserve">XXXXXXX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7">
      <w:pPr>
        <w:pageBreakBefore w:val="0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60" w:before="60" w:line="360" w:lineRule="auto"/>
        <w:ind w:firstLine="709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60" w:before="60" w:line="360" w:lineRule="auto"/>
        <w:ind w:firstLine="170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(A) EXCELENTÍSSIMO(A) SENHOR(A) JUIZ(ÍZA) DE DIREITO </w:t>
      </w:r>
      <w:r w:rsidDel="00000000" w:rsidR="00000000" w:rsidRPr="00000000">
        <w:rPr>
          <w:color w:val="ff0000"/>
          <w:sz w:val="24"/>
          <w:szCs w:val="24"/>
          <w:highlight w:val="lightGray"/>
          <w:rtl w:val="0"/>
        </w:rPr>
        <w:t xml:space="preserve">(NOME DO MAGISTRADO)</w:t>
      </w:r>
      <w:r w:rsidDel="00000000" w:rsidR="00000000" w:rsidRPr="00000000">
        <w:rPr>
          <w:sz w:val="24"/>
          <w:szCs w:val="24"/>
          <w:rtl w:val="0"/>
        </w:rPr>
        <w:t xml:space="preserve">, Diretor(a) do Foro da comarca de </w:t>
      </w:r>
      <w:r w:rsidDel="00000000" w:rsidR="00000000" w:rsidRPr="00000000">
        <w:rPr>
          <w:color w:val="ff0000"/>
          <w:sz w:val="24"/>
          <w:szCs w:val="24"/>
          <w:highlight w:val="lightGray"/>
          <w:rtl w:val="0"/>
        </w:rPr>
        <w:t xml:space="preserve">XXXXXX</w:t>
      </w:r>
      <w:r w:rsidDel="00000000" w:rsidR="00000000" w:rsidRPr="00000000">
        <w:rPr>
          <w:sz w:val="24"/>
          <w:szCs w:val="24"/>
          <w:rtl w:val="0"/>
        </w:rPr>
        <w:t xml:space="preserve">, no uso de suas atribuições legais e considerando:</w:t>
      </w:r>
    </w:p>
    <w:p w:rsidR="00000000" w:rsidDel="00000000" w:rsidP="00000000" w:rsidRDefault="00000000" w:rsidRPr="00000000" w14:paraId="00000009">
      <w:pPr>
        <w:pageBreakBefore w:val="0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60" w:before="60" w:line="360" w:lineRule="auto"/>
        <w:ind w:firstLine="170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ato nº </w:t>
      </w:r>
      <w:r w:rsidDel="00000000" w:rsidR="00000000" w:rsidRPr="00000000">
        <w:rPr>
          <w:color w:val="ff0000"/>
          <w:sz w:val="24"/>
          <w:szCs w:val="24"/>
          <w:highlight w:val="lightGray"/>
          <w:rtl w:val="0"/>
        </w:rPr>
        <w:t xml:space="preserve">XX</w:t>
      </w:r>
      <w:r w:rsidDel="00000000" w:rsidR="00000000" w:rsidRPr="00000000">
        <w:rPr>
          <w:color w:val="ff0000"/>
          <w:sz w:val="24"/>
          <w:szCs w:val="24"/>
          <w:highlight w:val="lightGray"/>
          <w:vertAlign w:val="superscript"/>
        </w:rPr>
        <w:footnoteReference w:customMarkFollows="0" w:id="0"/>
      </w:r>
      <w:r w:rsidDel="00000000" w:rsidR="00000000" w:rsidRPr="00000000">
        <w:rPr>
          <w:sz w:val="24"/>
          <w:szCs w:val="24"/>
          <w:rtl w:val="0"/>
        </w:rPr>
        <w:t xml:space="preserve"> da Presidência do Tribunal de Justiça de Santa Catarina que delega a responsabilidade pelo acervo do (nome oficial da serventia);</w:t>
      </w:r>
    </w:p>
    <w:p w:rsidR="00000000" w:rsidDel="00000000" w:rsidP="00000000" w:rsidRDefault="00000000" w:rsidRPr="00000000" w14:paraId="0000000A">
      <w:pPr>
        <w:pageBreakBefore w:val="0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60" w:before="60" w:line="360" w:lineRule="auto"/>
        <w:ind w:firstLine="170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necessidade de realizar a transmissão do acervo do (nome oficial da serventia); e, </w:t>
      </w:r>
    </w:p>
    <w:p w:rsidR="00000000" w:rsidDel="00000000" w:rsidP="00000000" w:rsidRDefault="00000000" w:rsidRPr="00000000" w14:paraId="0000000B">
      <w:pPr>
        <w:pageBreakBefore w:val="0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60" w:before="60" w:line="360" w:lineRule="auto"/>
        <w:ind w:firstLine="170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disposto no art. 94-A do Código de Normas da Corregedoria-Geral da Justiça,</w:t>
      </w:r>
    </w:p>
    <w:p w:rsidR="00000000" w:rsidDel="00000000" w:rsidP="00000000" w:rsidRDefault="00000000" w:rsidRPr="00000000" w14:paraId="0000000C">
      <w:pPr>
        <w:pageBreakBefore w:val="0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60" w:before="60" w:line="360" w:lineRule="auto"/>
        <w:ind w:firstLine="170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decisão nos autos n. XXXXXXXXX</w:t>
      </w:r>
    </w:p>
    <w:p w:rsidR="00000000" w:rsidDel="00000000" w:rsidP="00000000" w:rsidRDefault="00000000" w:rsidRPr="00000000" w14:paraId="0000000D">
      <w:pPr>
        <w:pageBreakBefore w:val="0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60" w:before="60" w:line="360" w:lineRule="auto"/>
        <w:ind w:firstLine="1701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60" w:before="60" w:line="360" w:lineRule="auto"/>
        <w:ind w:firstLine="1701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RESOLVE: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60" w:before="60" w:line="360" w:lineRule="auto"/>
        <w:ind w:firstLine="170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1ª </w:t>
      </w:r>
      <w:r w:rsidDel="00000000" w:rsidR="00000000" w:rsidRPr="00000000">
        <w:rPr>
          <w:b w:val="1"/>
          <w:sz w:val="24"/>
          <w:szCs w:val="24"/>
          <w:rtl w:val="0"/>
        </w:rPr>
        <w:t xml:space="preserve">Suspender</w:t>
      </w:r>
      <w:r w:rsidDel="00000000" w:rsidR="00000000" w:rsidRPr="00000000">
        <w:rPr>
          <w:sz w:val="24"/>
          <w:szCs w:val="24"/>
          <w:rtl w:val="0"/>
        </w:rPr>
        <w:t xml:space="preserve"> o expediente (e com ele o atendimento externo e os prazos em curso) do </w:t>
      </w:r>
      <w:r w:rsidDel="00000000" w:rsidR="00000000" w:rsidRPr="00000000">
        <w:rPr>
          <w:color w:val="ff0000"/>
          <w:sz w:val="24"/>
          <w:szCs w:val="24"/>
          <w:highlight w:val="lightGray"/>
          <w:rtl w:val="0"/>
        </w:rPr>
        <w:t xml:space="preserve">(nome oficial da serventia)</w:t>
      </w:r>
      <w:r w:rsidDel="00000000" w:rsidR="00000000" w:rsidRPr="00000000">
        <w:rPr>
          <w:sz w:val="24"/>
          <w:szCs w:val="24"/>
          <w:rtl w:val="0"/>
        </w:rPr>
        <w:t xml:space="preserve"> nos dias </w:t>
      </w:r>
      <w:r w:rsidDel="00000000" w:rsidR="00000000" w:rsidRPr="00000000">
        <w:rPr>
          <w:color w:val="ff0000"/>
          <w:sz w:val="24"/>
          <w:szCs w:val="24"/>
          <w:highlight w:val="lightGray"/>
          <w:rtl w:val="0"/>
        </w:rPr>
        <w:t xml:space="preserve">XX</w:t>
      </w:r>
      <w:r w:rsidDel="00000000" w:rsidR="00000000" w:rsidRPr="00000000">
        <w:rPr>
          <w:sz w:val="24"/>
          <w:szCs w:val="24"/>
          <w:rtl w:val="0"/>
        </w:rPr>
        <w:t xml:space="preserve"> de </w:t>
      </w:r>
      <w:r w:rsidDel="00000000" w:rsidR="00000000" w:rsidRPr="00000000">
        <w:rPr>
          <w:color w:val="ff0000"/>
          <w:sz w:val="24"/>
          <w:szCs w:val="24"/>
          <w:highlight w:val="lightGray"/>
          <w:rtl w:val="0"/>
        </w:rPr>
        <w:t xml:space="preserve">XXXXXX</w:t>
      </w:r>
      <w:r w:rsidDel="00000000" w:rsidR="00000000" w:rsidRPr="00000000">
        <w:rPr>
          <w:sz w:val="24"/>
          <w:szCs w:val="24"/>
          <w:rtl w:val="0"/>
        </w:rPr>
        <w:t xml:space="preserve"> de 20</w:t>
      </w:r>
      <w:r w:rsidDel="00000000" w:rsidR="00000000" w:rsidRPr="00000000">
        <w:rPr>
          <w:color w:val="ff0000"/>
          <w:sz w:val="24"/>
          <w:szCs w:val="24"/>
          <w:highlight w:val="lightGray"/>
          <w:rtl w:val="0"/>
        </w:rPr>
        <w:t xml:space="preserve">XX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0">
      <w:pPr>
        <w:pageBreakBefore w:val="0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60" w:before="60" w:line="360" w:lineRule="auto"/>
        <w:ind w:firstLine="170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Parágrafo único. Os casos urgentes e os atendimentos anteriormente agendados deverão ser realizados em regime de plantão.</w:t>
      </w:r>
    </w:p>
    <w:p w:rsidR="00000000" w:rsidDel="00000000" w:rsidP="00000000" w:rsidRDefault="00000000" w:rsidRPr="00000000" w14:paraId="00000011">
      <w:pPr>
        <w:pageBreakBefore w:val="0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60" w:before="60" w:line="360" w:lineRule="auto"/>
        <w:ind w:firstLine="170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Registre-se, publique-se.</w:t>
      </w:r>
    </w:p>
    <w:p w:rsidR="00000000" w:rsidDel="00000000" w:rsidP="00000000" w:rsidRDefault="00000000" w:rsidRPr="00000000" w14:paraId="00000012">
      <w:pPr>
        <w:pageBreakBefore w:val="0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60" w:before="60" w:line="360" w:lineRule="auto"/>
        <w:ind w:firstLine="170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Cumpra-se o disposto no parágrafo único do art. 94-A do Código de Normas da Corregedoria-Geral da Justiça.</w:t>
      </w:r>
    </w:p>
    <w:p w:rsidR="00000000" w:rsidDel="00000000" w:rsidP="00000000" w:rsidRDefault="00000000" w:rsidRPr="00000000" w14:paraId="00000013">
      <w:pPr>
        <w:pageBreakBefore w:val="0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60" w:before="60" w:line="360" w:lineRule="auto"/>
        <w:ind w:firstLine="1701"/>
        <w:jc w:val="both"/>
        <w:rPr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highlight w:val="lightGray"/>
          <w:rtl w:val="0"/>
        </w:rPr>
        <w:t xml:space="preserve">Nome da comarca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color w:val="ff0000"/>
          <w:sz w:val="24"/>
          <w:szCs w:val="24"/>
          <w:highlight w:val="lightGray"/>
          <w:rtl w:val="0"/>
        </w:rPr>
        <w:t xml:space="preserve">XX</w:t>
      </w:r>
      <w:r w:rsidDel="00000000" w:rsidR="00000000" w:rsidRPr="00000000">
        <w:rPr>
          <w:sz w:val="24"/>
          <w:szCs w:val="24"/>
          <w:rtl w:val="0"/>
        </w:rPr>
        <w:t xml:space="preserve"> de </w:t>
      </w:r>
      <w:r w:rsidDel="00000000" w:rsidR="00000000" w:rsidRPr="00000000">
        <w:rPr>
          <w:color w:val="ff0000"/>
          <w:sz w:val="24"/>
          <w:szCs w:val="24"/>
          <w:highlight w:val="lightGray"/>
          <w:rtl w:val="0"/>
        </w:rPr>
        <w:t xml:space="preserve">XXXX</w:t>
      </w:r>
      <w:r w:rsidDel="00000000" w:rsidR="00000000" w:rsidRPr="00000000">
        <w:rPr>
          <w:sz w:val="24"/>
          <w:szCs w:val="24"/>
          <w:rtl w:val="0"/>
        </w:rPr>
        <w:t xml:space="preserve"> de 20</w:t>
      </w:r>
      <w:r w:rsidDel="00000000" w:rsidR="00000000" w:rsidRPr="00000000">
        <w:rPr>
          <w:color w:val="ff0000"/>
          <w:sz w:val="24"/>
          <w:szCs w:val="24"/>
          <w:highlight w:val="lightGray"/>
          <w:rtl w:val="0"/>
        </w:rPr>
        <w:t xml:space="preserve">XX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4">
      <w:pPr>
        <w:pageBreakBefore w:val="0"/>
        <w:spacing w:after="60" w:before="60" w:line="36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after="60" w:before="60" w:line="360" w:lineRule="auto"/>
        <w:ind w:firstLine="709"/>
        <w:jc w:val="center"/>
        <w:rPr>
          <w:color w:val="ff0000"/>
          <w:sz w:val="24"/>
          <w:szCs w:val="24"/>
          <w:highlight w:val="lightGray"/>
        </w:rPr>
      </w:pPr>
      <w:r w:rsidDel="00000000" w:rsidR="00000000" w:rsidRPr="00000000">
        <w:rPr>
          <w:b w:val="1"/>
          <w:color w:val="ff0000"/>
          <w:sz w:val="24"/>
          <w:szCs w:val="24"/>
          <w:highlight w:val="lightGray"/>
          <w:rtl w:val="0"/>
        </w:rPr>
        <w:t xml:space="preserve">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after="60" w:before="60" w:line="360" w:lineRule="auto"/>
        <w:ind w:firstLine="709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highlight w:val="lightGray"/>
          <w:rtl w:val="0"/>
        </w:rPr>
        <w:t xml:space="preserve">Diretor (a) do Foro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after="60" w:before="60" w:line="360" w:lineRule="auto"/>
        <w:ind w:firstLine="709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after="60" w:before="60" w:line="360" w:lineRule="auto"/>
        <w:ind w:firstLine="709"/>
        <w:jc w:val="center"/>
        <w:rPr>
          <w:sz w:val="24"/>
          <w:szCs w:val="24"/>
        </w:rPr>
      </w:pPr>
      <w:bookmarkStart w:colFirst="0" w:colLast="0" w:name="_37m2jsg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A">
      <w:pPr>
        <w:pageBreakBefore w:val="0"/>
        <w:spacing w:line="240" w:lineRule="auto"/>
        <w:ind w:right="850"/>
        <w:jc w:val="both"/>
        <w:rPr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Adequar a referência ao ato específico para a atividade de transmissão em questão.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